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6758F" w14:textId="77777777" w:rsidR="00F77840" w:rsidRDefault="00000000">
      <w:pPr>
        <w:spacing w:after="100"/>
      </w:pPr>
      <w:r>
        <w:rPr>
          <w:b/>
          <w:bCs/>
          <w:color w:val="1B2430"/>
          <w:spacing w:val="40"/>
          <w:sz w:val="36"/>
          <w:szCs w:val="36"/>
        </w:rPr>
        <w:t>MEMORANDUM</w:t>
      </w:r>
    </w:p>
    <w:p w14:paraId="42C89A42" w14:textId="77777777" w:rsidR="00F77840" w:rsidRDefault="00000000">
      <w:pPr>
        <w:tabs>
          <w:tab w:val="left" w:pos="1000"/>
        </w:tabs>
        <w:spacing w:after="20"/>
      </w:pPr>
      <w:r>
        <w:rPr>
          <w:b/>
          <w:bCs/>
          <w:color w:val="5A6472"/>
        </w:rPr>
        <w:t>TO:</w:t>
      </w:r>
      <w:r>
        <w:rPr>
          <w:color w:val="1B2430"/>
        </w:rPr>
        <w:tab/>
        <w:t>Executive Leadership Team, hypothetical mid-sized B2B software vendor</w:t>
      </w:r>
    </w:p>
    <w:p w14:paraId="24D2AF5E" w14:textId="5F4E0F34" w:rsidR="00F77840" w:rsidRDefault="00000000">
      <w:pPr>
        <w:tabs>
          <w:tab w:val="left" w:pos="1000"/>
        </w:tabs>
        <w:spacing w:after="20"/>
      </w:pPr>
      <w:r>
        <w:rPr>
          <w:b/>
          <w:bCs/>
          <w:color w:val="5A6472"/>
        </w:rPr>
        <w:t>FROM:</w:t>
      </w:r>
      <w:r>
        <w:rPr>
          <w:color w:val="1B2430"/>
        </w:rPr>
        <w:tab/>
      </w:r>
      <w:r w:rsidR="00CF5F16">
        <w:rPr>
          <w:color w:val="1B2430"/>
        </w:rPr>
        <w:t>Cole Blahut</w:t>
      </w:r>
    </w:p>
    <w:p w14:paraId="419E7760" w14:textId="17D189D0" w:rsidR="00F77840" w:rsidRDefault="00000000">
      <w:pPr>
        <w:tabs>
          <w:tab w:val="left" w:pos="1000"/>
        </w:tabs>
        <w:spacing w:after="20"/>
      </w:pPr>
      <w:r>
        <w:rPr>
          <w:b/>
          <w:bCs/>
          <w:color w:val="5A6472"/>
        </w:rPr>
        <w:t>DATE:</w:t>
      </w:r>
      <w:r>
        <w:rPr>
          <w:color w:val="1B2430"/>
        </w:rPr>
        <w:tab/>
      </w:r>
      <w:r w:rsidR="00BB1B9C">
        <w:rPr>
          <w:color w:val="1B2430"/>
        </w:rPr>
        <w:t>July 11</w:t>
      </w:r>
      <w:r>
        <w:rPr>
          <w:color w:val="1B2430"/>
        </w:rPr>
        <w:t>, 2026</w:t>
      </w:r>
    </w:p>
    <w:p w14:paraId="775669A0" w14:textId="77777777" w:rsidR="00F77840" w:rsidRDefault="00000000">
      <w:pPr>
        <w:tabs>
          <w:tab w:val="left" w:pos="1000"/>
        </w:tabs>
        <w:spacing w:after="20"/>
      </w:pPr>
      <w:r>
        <w:rPr>
          <w:b/>
          <w:bCs/>
          <w:color w:val="5A6472"/>
        </w:rPr>
        <w:t>RE:</w:t>
      </w:r>
      <w:r>
        <w:rPr>
          <w:color w:val="1B2430"/>
        </w:rPr>
        <w:tab/>
        <w:t>Lessons from the SolarWinds SUNBURST breach and a 90-day remediation roadmap</w:t>
      </w:r>
    </w:p>
    <w:p w14:paraId="491F1177" w14:textId="77777777" w:rsidR="00F77840" w:rsidRDefault="00000000">
      <w:pPr>
        <w:spacing w:before="80" w:after="40"/>
      </w:pPr>
      <w:r>
        <w:rPr>
          <w:i/>
          <w:iCs/>
          <w:color w:val="5A6472"/>
          <w:sz w:val="17"/>
          <w:szCs w:val="17"/>
        </w:rPr>
        <w:t>Independent case study built from public sources (SEC filings, court and government reports, press). The client is hypothetical, and the roadmap cost ranges are the author’s planning assumptions, not vendor quotes.</w:t>
      </w:r>
    </w:p>
    <w:p w14:paraId="47EDE343" w14:textId="77777777" w:rsidR="00F77840" w:rsidRDefault="00000000">
      <w:pPr>
        <w:pBdr>
          <w:bottom w:val="single" w:sz="6" w:space="2" w:color="C9CFD8"/>
        </w:pBdr>
        <w:spacing w:before="160" w:after="60"/>
      </w:pPr>
      <w:r>
        <w:rPr>
          <w:b/>
          <w:bCs/>
          <w:color w:val="B8741A"/>
          <w:spacing w:val="20"/>
        </w:rPr>
        <w:t>BOTTOM LINE</w:t>
      </w:r>
    </w:p>
    <w:p w14:paraId="0C3463CD" w14:textId="77777777" w:rsidR="00F77840" w:rsidRDefault="00000000">
      <w:pPr>
        <w:spacing w:after="80" w:line="252" w:lineRule="auto"/>
      </w:pPr>
      <w:r>
        <w:rPr>
          <w:color w:val="1B2430"/>
        </w:rPr>
        <w:t>Like SolarWinds, we ship software into customer networks through an update channel. In 2020, attackers turned SolarWinds’ channel into a delivery route for malware. We recommend a $1.2M–$2.8M program, starting with four quick wins in the first 30 days, to harden our build pipeline, identity controls, and detection. That is roughly 2–5% of the $52.6M in gross incident expenses SolarWinds disclosed for 2020–2021.</w:t>
      </w:r>
    </w:p>
    <w:p w14:paraId="50E55682" w14:textId="77777777" w:rsidR="00F77840" w:rsidRDefault="00000000">
      <w:pPr>
        <w:pBdr>
          <w:bottom w:val="single" w:sz="6" w:space="2" w:color="C9CFD8"/>
        </w:pBdr>
        <w:spacing w:before="160" w:after="60"/>
      </w:pPr>
      <w:r>
        <w:rPr>
          <w:b/>
          <w:bCs/>
          <w:color w:val="B8741A"/>
          <w:spacing w:val="20"/>
        </w:rPr>
        <w:t>WHAT HAPPENED</w:t>
      </w:r>
    </w:p>
    <w:p w14:paraId="0934AB6C" w14:textId="77777777" w:rsidR="00F77840" w:rsidRDefault="00000000">
      <w:pPr>
        <w:pStyle w:val="ListParagraph"/>
        <w:numPr>
          <w:ilvl w:val="0"/>
          <w:numId w:val="2"/>
        </w:numPr>
        <w:spacing w:after="40" w:line="252" w:lineRule="auto"/>
      </w:pPr>
      <w:r>
        <w:rPr>
          <w:color w:val="1B2430"/>
        </w:rPr>
        <w:t xml:space="preserve">Attackers compromised SolarWinds’ internal environment and software build process. SolarWinds said they had access for at least nine months before an October 2019 test run; </w:t>
      </w:r>
      <w:proofErr w:type="spellStart"/>
      <w:r>
        <w:rPr>
          <w:color w:val="1B2430"/>
        </w:rPr>
        <w:t>trojanized</w:t>
      </w:r>
      <w:proofErr w:type="spellEnd"/>
      <w:r>
        <w:rPr>
          <w:color w:val="1B2430"/>
        </w:rPr>
        <w:t xml:space="preserve"> Orion updates then shipped between March and June 2020.</w:t>
      </w:r>
    </w:p>
    <w:p w14:paraId="44A0FAD1" w14:textId="77777777" w:rsidR="00F77840" w:rsidRDefault="00000000">
      <w:pPr>
        <w:pStyle w:val="ListParagraph"/>
        <w:numPr>
          <w:ilvl w:val="0"/>
          <w:numId w:val="2"/>
        </w:numPr>
        <w:spacing w:after="40" w:line="252" w:lineRule="auto"/>
      </w:pPr>
      <w:r>
        <w:rPr>
          <w:color w:val="1B2430"/>
        </w:rPr>
        <w:t>The breach surfaced on December 13, 2020, when FireEye detected it. SolarWinds notified about 33,000 Orion customers, and fewer than 18,000 were believed to have installed the tainted update.</w:t>
      </w:r>
    </w:p>
    <w:p w14:paraId="6EC300AF" w14:textId="77777777" w:rsidR="00F77840" w:rsidRDefault="00000000">
      <w:pPr>
        <w:pStyle w:val="ListParagraph"/>
        <w:numPr>
          <w:ilvl w:val="0"/>
          <w:numId w:val="2"/>
        </w:numPr>
        <w:spacing w:after="40" w:line="252" w:lineRule="auto"/>
      </w:pPr>
      <w:r>
        <w:rPr>
          <w:color w:val="1B2430"/>
        </w:rPr>
        <w:t>The U.S. government identified 9 federal agencies and about 100 private companies as compromised. Attackers chose targets selectively rather than exploiting every installation.</w:t>
      </w:r>
    </w:p>
    <w:p w14:paraId="49FE34D5" w14:textId="77777777" w:rsidR="00F77840" w:rsidRDefault="00000000">
      <w:pPr>
        <w:pBdr>
          <w:bottom w:val="single" w:sz="6" w:space="2" w:color="C9CFD8"/>
        </w:pBdr>
        <w:spacing w:before="160" w:after="60"/>
      </w:pPr>
      <w:r>
        <w:rPr>
          <w:b/>
          <w:bCs/>
          <w:color w:val="B8741A"/>
          <w:spacing w:val="20"/>
        </w:rPr>
        <w:t>BUSINESS IMPACT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7380"/>
      </w:tblGrid>
      <w:tr w:rsidR="00F77840" w14:paraId="6CE690FE" w14:textId="77777777">
        <w:trPr>
          <w:cantSplit/>
          <w:tblHeader/>
        </w:trPr>
        <w:tc>
          <w:tcPr>
            <w:tcW w:w="2700" w:type="dxa"/>
            <w:tcBorders>
              <w:top w:val="single" w:sz="4" w:space="0" w:color="C9CFD8"/>
              <w:left w:val="single" w:sz="4" w:space="0" w:color="C9CFD8"/>
              <w:bottom w:val="single" w:sz="4" w:space="0" w:color="C9CFD8"/>
              <w:right w:val="single" w:sz="4" w:space="0" w:color="C9CFD8"/>
            </w:tcBorders>
            <w:shd w:val="clear" w:color="auto" w:fill="1B2430"/>
            <w:tcMar>
              <w:top w:w="50" w:type="dxa"/>
              <w:left w:w="90" w:type="dxa"/>
              <w:bottom w:w="50" w:type="dxa"/>
              <w:right w:w="90" w:type="dxa"/>
            </w:tcMar>
          </w:tcPr>
          <w:p w14:paraId="383DA193" w14:textId="77777777" w:rsidR="00F77840" w:rsidRDefault="00000000">
            <w:r>
              <w:rPr>
                <w:b/>
                <w:bCs/>
                <w:color w:val="FFFFFF"/>
                <w:sz w:val="18"/>
                <w:szCs w:val="18"/>
              </w:rPr>
              <w:t>Measure</w:t>
            </w:r>
          </w:p>
        </w:tc>
        <w:tc>
          <w:tcPr>
            <w:tcW w:w="7380" w:type="dxa"/>
            <w:tcBorders>
              <w:top w:val="single" w:sz="4" w:space="0" w:color="C9CFD8"/>
              <w:left w:val="single" w:sz="4" w:space="0" w:color="C9CFD8"/>
              <w:bottom w:val="single" w:sz="4" w:space="0" w:color="C9CFD8"/>
              <w:right w:val="single" w:sz="4" w:space="0" w:color="C9CFD8"/>
            </w:tcBorders>
            <w:shd w:val="clear" w:color="auto" w:fill="1B2430"/>
            <w:tcMar>
              <w:top w:w="50" w:type="dxa"/>
              <w:left w:w="90" w:type="dxa"/>
              <w:bottom w:w="50" w:type="dxa"/>
              <w:right w:w="90" w:type="dxa"/>
            </w:tcMar>
          </w:tcPr>
          <w:p w14:paraId="2F6C6835" w14:textId="77777777" w:rsidR="00F77840" w:rsidRDefault="00000000">
            <w:r>
              <w:rPr>
                <w:b/>
                <w:bCs/>
                <w:color w:val="FFFFFF"/>
                <w:sz w:val="18"/>
                <w:szCs w:val="18"/>
              </w:rPr>
              <w:t>Disclosed figure and context</w:t>
            </w:r>
          </w:p>
        </w:tc>
      </w:tr>
      <w:tr w:rsidR="00F77840" w14:paraId="1A0DD523" w14:textId="77777777">
        <w:trPr>
          <w:cantSplit/>
        </w:trPr>
        <w:tc>
          <w:tcPr>
            <w:tcW w:w="27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64555503" w14:textId="77777777" w:rsidR="00F77840" w:rsidRDefault="00000000">
            <w:r>
              <w:rPr>
                <w:color w:val="1B2430"/>
                <w:sz w:val="18"/>
                <w:szCs w:val="18"/>
              </w:rPr>
              <w:t>2020 incident expenses</w:t>
            </w:r>
          </w:p>
        </w:tc>
        <w:tc>
          <w:tcPr>
            <w:tcW w:w="738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38AB2DEE" w14:textId="77777777" w:rsidR="00F77840" w:rsidRDefault="00000000">
            <w:r>
              <w:rPr>
                <w:color w:val="1B2430"/>
                <w:sz w:val="18"/>
                <w:szCs w:val="18"/>
              </w:rPr>
              <w:t>$3.5M pretax (SolarWinds FY2021 Form 10-K)</w:t>
            </w:r>
          </w:p>
        </w:tc>
      </w:tr>
      <w:tr w:rsidR="00F77840" w14:paraId="484F9001" w14:textId="77777777">
        <w:trPr>
          <w:cantSplit/>
        </w:trPr>
        <w:tc>
          <w:tcPr>
            <w:tcW w:w="27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1FB652BE" w14:textId="77777777" w:rsidR="00F77840" w:rsidRDefault="00000000">
            <w:r>
              <w:rPr>
                <w:color w:val="1B2430"/>
                <w:sz w:val="18"/>
                <w:szCs w:val="18"/>
              </w:rPr>
              <w:t>2021 incident expenses</w:t>
            </w:r>
          </w:p>
        </w:tc>
        <w:tc>
          <w:tcPr>
            <w:tcW w:w="738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30911140" w14:textId="77777777" w:rsidR="00F77840" w:rsidRDefault="00000000">
            <w:r>
              <w:rPr>
                <w:color w:val="1B2430"/>
                <w:sz w:val="18"/>
                <w:szCs w:val="18"/>
              </w:rPr>
              <w:t>$49.1M gross, offset by $15.0M of insurance receipts and expected proceeds (FY2021 Form 10-K)</w:t>
            </w:r>
          </w:p>
        </w:tc>
      </w:tr>
      <w:tr w:rsidR="00F77840" w14:paraId="682763ED" w14:textId="77777777">
        <w:trPr>
          <w:cantSplit/>
        </w:trPr>
        <w:tc>
          <w:tcPr>
            <w:tcW w:w="27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2F544258" w14:textId="77777777" w:rsidR="00F77840" w:rsidRDefault="00000000">
            <w:r>
              <w:rPr>
                <w:color w:val="1B2430"/>
                <w:sz w:val="18"/>
                <w:szCs w:val="18"/>
              </w:rPr>
              <w:t>Securities class action</w:t>
            </w:r>
          </w:p>
        </w:tc>
        <w:tc>
          <w:tcPr>
            <w:tcW w:w="738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4E81E47D" w14:textId="77777777" w:rsidR="00F77840" w:rsidRDefault="00000000">
            <w:r>
              <w:rPr>
                <w:color w:val="1B2430"/>
                <w:sz w:val="18"/>
                <w:szCs w:val="18"/>
              </w:rPr>
              <w:t>$26M settlement, paid March 2023; the company expected its D&amp;O insurers to reimburse it in full</w:t>
            </w:r>
          </w:p>
        </w:tc>
      </w:tr>
      <w:tr w:rsidR="00F77840" w14:paraId="7EC20B73" w14:textId="77777777">
        <w:trPr>
          <w:cantSplit/>
        </w:trPr>
        <w:tc>
          <w:tcPr>
            <w:tcW w:w="27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4A31771B" w14:textId="77777777" w:rsidR="00F77840" w:rsidRDefault="00000000">
            <w:r>
              <w:rPr>
                <w:color w:val="1B2430"/>
                <w:sz w:val="18"/>
                <w:szCs w:val="18"/>
              </w:rPr>
              <w:t>Stock price</w:t>
            </w:r>
          </w:p>
        </w:tc>
        <w:tc>
          <w:tcPr>
            <w:tcW w:w="738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66B311E2" w14:textId="77777777" w:rsidR="00F77840" w:rsidRDefault="00000000">
            <w:r>
              <w:rPr>
                <w:color w:val="1B2430"/>
                <w:sz w:val="18"/>
                <w:szCs w:val="18"/>
              </w:rPr>
              <w:t>Fell about 17% on December 14, 2020 (to $19.62); the SEC cites roughly a 35% decline by month-end</w:t>
            </w:r>
          </w:p>
        </w:tc>
      </w:tr>
      <w:tr w:rsidR="00F77840" w14:paraId="68AF049A" w14:textId="77777777">
        <w:trPr>
          <w:cantSplit/>
        </w:trPr>
        <w:tc>
          <w:tcPr>
            <w:tcW w:w="27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753E40BF" w14:textId="77777777" w:rsidR="00F77840" w:rsidRDefault="00000000">
            <w:r>
              <w:rPr>
                <w:color w:val="1B2430"/>
                <w:sz w:val="18"/>
                <w:szCs w:val="18"/>
              </w:rPr>
              <w:t>Regulatory</w:t>
            </w:r>
          </w:p>
        </w:tc>
        <w:tc>
          <w:tcPr>
            <w:tcW w:w="738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7046D6E5" w14:textId="77777777" w:rsidR="00F77840" w:rsidRDefault="00000000">
            <w:r>
              <w:rPr>
                <w:color w:val="1B2430"/>
                <w:sz w:val="18"/>
                <w:szCs w:val="18"/>
              </w:rPr>
              <w:t>SEC sued in October 2023; most claims dismissed July 2024; case dismissed with prejudice November 2025 with no admission of wrongdoing</w:t>
            </w:r>
          </w:p>
        </w:tc>
      </w:tr>
    </w:tbl>
    <w:p w14:paraId="1D507A10" w14:textId="77777777" w:rsidR="00F77840" w:rsidRDefault="00000000">
      <w:pPr>
        <w:spacing w:before="60" w:after="40"/>
      </w:pPr>
      <w:r>
        <w:rPr>
          <w:color w:val="5A6472"/>
          <w:sz w:val="18"/>
          <w:szCs w:val="18"/>
        </w:rPr>
        <w:t>Gross disclosed expenses for 2020–2021 total $52.6M ($78.6M including the settlement). This excludes lost sales and defense costs not itemized in the filings.</w:t>
      </w:r>
    </w:p>
    <w:p w14:paraId="336783CA" w14:textId="77777777" w:rsidR="00F77840" w:rsidRDefault="00000000">
      <w:pPr>
        <w:pBdr>
          <w:bottom w:val="single" w:sz="6" w:space="2" w:color="C9CFD8"/>
        </w:pBdr>
        <w:spacing w:before="160" w:after="60"/>
      </w:pPr>
      <w:r>
        <w:rPr>
          <w:b/>
          <w:bCs/>
          <w:color w:val="B8741A"/>
          <w:spacing w:val="20"/>
        </w:rPr>
        <w:t>ROOT CAUSES</w:t>
      </w:r>
    </w:p>
    <w:p w14:paraId="2537BD44" w14:textId="77777777" w:rsidR="00F77840" w:rsidRDefault="00000000">
      <w:pPr>
        <w:pStyle w:val="ListParagraph"/>
        <w:numPr>
          <w:ilvl w:val="0"/>
          <w:numId w:val="2"/>
        </w:numPr>
        <w:spacing w:after="40" w:line="252" w:lineRule="auto"/>
      </w:pPr>
      <w:r>
        <w:rPr>
          <w:b/>
          <w:bCs/>
          <w:color w:val="1B2430"/>
        </w:rPr>
        <w:t xml:space="preserve">Technology: </w:t>
      </w:r>
      <w:r>
        <w:rPr>
          <w:color w:val="1B2430"/>
        </w:rPr>
        <w:t>a build pipeline without independent integrity checks, so malicious code could be inserted before signing. The SEC alleged a known VPN weakness that allowed access from unmanaged devices.</w:t>
      </w:r>
    </w:p>
    <w:p w14:paraId="6664AE38" w14:textId="77777777" w:rsidR="00F77840" w:rsidRDefault="00000000">
      <w:pPr>
        <w:pStyle w:val="ListParagraph"/>
        <w:numPr>
          <w:ilvl w:val="0"/>
          <w:numId w:val="2"/>
        </w:numPr>
        <w:spacing w:after="40" w:line="252" w:lineRule="auto"/>
      </w:pPr>
      <w:r>
        <w:rPr>
          <w:b/>
          <w:bCs/>
          <w:color w:val="1B2430"/>
        </w:rPr>
        <w:t xml:space="preserve">Process: </w:t>
      </w:r>
      <w:r>
        <w:rPr>
          <w:color w:val="1B2430"/>
        </w:rPr>
        <w:t>the SEC alleged SolarWinds did not follow its own password policy or a secure development lifecycle as publicly described, and granted excessive admin rights.</w:t>
      </w:r>
    </w:p>
    <w:p w14:paraId="3F7C965A" w14:textId="77777777" w:rsidR="00F77840" w:rsidRDefault="00000000">
      <w:pPr>
        <w:pStyle w:val="ListParagraph"/>
        <w:numPr>
          <w:ilvl w:val="0"/>
          <w:numId w:val="2"/>
        </w:numPr>
        <w:spacing w:after="40" w:line="252" w:lineRule="auto"/>
      </w:pPr>
      <w:r>
        <w:rPr>
          <w:b/>
          <w:bCs/>
          <w:color w:val="1B2430"/>
        </w:rPr>
        <w:t xml:space="preserve">People and governance: </w:t>
      </w:r>
      <w:r>
        <w:rPr>
          <w:color w:val="1B2430"/>
        </w:rPr>
        <w:t>the SEC cited a 2019 internal assessment showing a program or practice for only 21 of 325 NIST 800-53 controls (about 6%) while public statements described strong practices. These are allegations; the court dismissed most of them and the case ended without admission.</w:t>
      </w:r>
    </w:p>
    <w:p w14:paraId="29A0C5C6" w14:textId="77777777" w:rsidR="00F77840" w:rsidRDefault="00000000">
      <w:pPr>
        <w:pageBreakBefore/>
        <w:pBdr>
          <w:bottom w:val="single" w:sz="6" w:space="2" w:color="C9CFD8"/>
        </w:pBdr>
        <w:spacing w:after="60"/>
      </w:pPr>
      <w:r>
        <w:rPr>
          <w:b/>
          <w:bCs/>
          <w:color w:val="B8741A"/>
          <w:spacing w:val="20"/>
        </w:rPr>
        <w:lastRenderedPageBreak/>
        <w:t>RECOMMENDATIONS, PRIORITIZED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0"/>
        <w:gridCol w:w="4100"/>
        <w:gridCol w:w="900"/>
        <w:gridCol w:w="900"/>
        <w:gridCol w:w="1560"/>
        <w:gridCol w:w="2100"/>
      </w:tblGrid>
      <w:tr w:rsidR="00F77840" w14:paraId="5827D1CB" w14:textId="77777777">
        <w:trPr>
          <w:cantSplit/>
          <w:tblHeader/>
        </w:trPr>
        <w:tc>
          <w:tcPr>
            <w:tcW w:w="520" w:type="dxa"/>
            <w:tcBorders>
              <w:top w:val="single" w:sz="4" w:space="0" w:color="C9CFD8"/>
              <w:left w:val="single" w:sz="4" w:space="0" w:color="C9CFD8"/>
              <w:bottom w:val="single" w:sz="4" w:space="0" w:color="C9CFD8"/>
              <w:right w:val="single" w:sz="4" w:space="0" w:color="C9CFD8"/>
            </w:tcBorders>
            <w:shd w:val="clear" w:color="auto" w:fill="1B2430"/>
            <w:tcMar>
              <w:top w:w="50" w:type="dxa"/>
              <w:left w:w="90" w:type="dxa"/>
              <w:bottom w:w="50" w:type="dxa"/>
              <w:right w:w="90" w:type="dxa"/>
            </w:tcMar>
          </w:tcPr>
          <w:p w14:paraId="17D016EC" w14:textId="77777777" w:rsidR="00F77840" w:rsidRDefault="00000000">
            <w:r>
              <w:rPr>
                <w:b/>
                <w:bCs/>
                <w:color w:val="FFFFFF"/>
                <w:sz w:val="18"/>
                <w:szCs w:val="18"/>
              </w:rPr>
              <w:t>#</w:t>
            </w:r>
          </w:p>
        </w:tc>
        <w:tc>
          <w:tcPr>
            <w:tcW w:w="4100" w:type="dxa"/>
            <w:tcBorders>
              <w:top w:val="single" w:sz="4" w:space="0" w:color="C9CFD8"/>
              <w:left w:val="single" w:sz="4" w:space="0" w:color="C9CFD8"/>
              <w:bottom w:val="single" w:sz="4" w:space="0" w:color="C9CFD8"/>
              <w:right w:val="single" w:sz="4" w:space="0" w:color="C9CFD8"/>
            </w:tcBorders>
            <w:shd w:val="clear" w:color="auto" w:fill="1B2430"/>
            <w:tcMar>
              <w:top w:w="50" w:type="dxa"/>
              <w:left w:w="90" w:type="dxa"/>
              <w:bottom w:w="50" w:type="dxa"/>
              <w:right w:w="90" w:type="dxa"/>
            </w:tcMar>
          </w:tcPr>
          <w:p w14:paraId="250C14FB" w14:textId="77777777" w:rsidR="00F77840" w:rsidRDefault="00000000">
            <w:r>
              <w:rPr>
                <w:b/>
                <w:bCs/>
                <w:color w:val="FFFFFF"/>
                <w:sz w:val="18"/>
                <w:szCs w:val="18"/>
              </w:rPr>
              <w:t>Action</w:t>
            </w:r>
          </w:p>
        </w:tc>
        <w:tc>
          <w:tcPr>
            <w:tcW w:w="900" w:type="dxa"/>
            <w:tcBorders>
              <w:top w:val="single" w:sz="4" w:space="0" w:color="C9CFD8"/>
              <w:left w:val="single" w:sz="4" w:space="0" w:color="C9CFD8"/>
              <w:bottom w:val="single" w:sz="4" w:space="0" w:color="C9CFD8"/>
              <w:right w:val="single" w:sz="4" w:space="0" w:color="C9CFD8"/>
            </w:tcBorders>
            <w:shd w:val="clear" w:color="auto" w:fill="1B2430"/>
            <w:tcMar>
              <w:top w:w="50" w:type="dxa"/>
              <w:left w:w="90" w:type="dxa"/>
              <w:bottom w:w="50" w:type="dxa"/>
              <w:right w:w="90" w:type="dxa"/>
            </w:tcMar>
          </w:tcPr>
          <w:p w14:paraId="5B8DB254" w14:textId="77777777" w:rsidR="00F77840" w:rsidRDefault="00000000">
            <w:r>
              <w:rPr>
                <w:b/>
                <w:bCs/>
                <w:color w:val="FFFFFF"/>
                <w:sz w:val="18"/>
                <w:szCs w:val="18"/>
              </w:rPr>
              <w:t>CIS v8</w:t>
            </w:r>
          </w:p>
        </w:tc>
        <w:tc>
          <w:tcPr>
            <w:tcW w:w="900" w:type="dxa"/>
            <w:tcBorders>
              <w:top w:val="single" w:sz="4" w:space="0" w:color="C9CFD8"/>
              <w:left w:val="single" w:sz="4" w:space="0" w:color="C9CFD8"/>
              <w:bottom w:val="single" w:sz="4" w:space="0" w:color="C9CFD8"/>
              <w:right w:val="single" w:sz="4" w:space="0" w:color="C9CFD8"/>
            </w:tcBorders>
            <w:shd w:val="clear" w:color="auto" w:fill="1B2430"/>
            <w:tcMar>
              <w:top w:w="50" w:type="dxa"/>
              <w:left w:w="90" w:type="dxa"/>
              <w:bottom w:w="50" w:type="dxa"/>
              <w:right w:w="90" w:type="dxa"/>
            </w:tcMar>
          </w:tcPr>
          <w:p w14:paraId="65FF35DA" w14:textId="77777777" w:rsidR="00F77840" w:rsidRDefault="00000000">
            <w:r>
              <w:rPr>
                <w:b/>
                <w:bCs/>
                <w:color w:val="FFFFFF"/>
                <w:sz w:val="18"/>
                <w:szCs w:val="18"/>
              </w:rPr>
              <w:t>Impact</w:t>
            </w:r>
          </w:p>
        </w:tc>
        <w:tc>
          <w:tcPr>
            <w:tcW w:w="1560" w:type="dxa"/>
            <w:tcBorders>
              <w:top w:val="single" w:sz="4" w:space="0" w:color="C9CFD8"/>
              <w:left w:val="single" w:sz="4" w:space="0" w:color="C9CFD8"/>
              <w:bottom w:val="single" w:sz="4" w:space="0" w:color="C9CFD8"/>
              <w:right w:val="single" w:sz="4" w:space="0" w:color="C9CFD8"/>
            </w:tcBorders>
            <w:shd w:val="clear" w:color="auto" w:fill="1B2430"/>
            <w:tcMar>
              <w:top w:w="50" w:type="dxa"/>
              <w:left w:w="90" w:type="dxa"/>
              <w:bottom w:w="50" w:type="dxa"/>
              <w:right w:w="90" w:type="dxa"/>
            </w:tcMar>
          </w:tcPr>
          <w:p w14:paraId="0AC1D745" w14:textId="77777777" w:rsidR="00F77840" w:rsidRDefault="00000000">
            <w:r>
              <w:rPr>
                <w:b/>
                <w:bCs/>
                <w:color w:val="FFFFFF"/>
                <w:sz w:val="18"/>
                <w:szCs w:val="18"/>
              </w:rPr>
              <w:t>Est. cost</w:t>
            </w:r>
          </w:p>
        </w:tc>
        <w:tc>
          <w:tcPr>
            <w:tcW w:w="2100" w:type="dxa"/>
            <w:tcBorders>
              <w:top w:val="single" w:sz="4" w:space="0" w:color="C9CFD8"/>
              <w:left w:val="single" w:sz="4" w:space="0" w:color="C9CFD8"/>
              <w:bottom w:val="single" w:sz="4" w:space="0" w:color="C9CFD8"/>
              <w:right w:val="single" w:sz="4" w:space="0" w:color="C9CFD8"/>
            </w:tcBorders>
            <w:shd w:val="clear" w:color="auto" w:fill="1B2430"/>
            <w:tcMar>
              <w:top w:w="50" w:type="dxa"/>
              <w:left w:w="90" w:type="dxa"/>
              <w:bottom w:w="50" w:type="dxa"/>
              <w:right w:w="90" w:type="dxa"/>
            </w:tcMar>
          </w:tcPr>
          <w:p w14:paraId="496C3B32" w14:textId="77777777" w:rsidR="00F77840" w:rsidRDefault="00000000">
            <w:r>
              <w:rPr>
                <w:b/>
                <w:bCs/>
                <w:color w:val="FFFFFF"/>
                <w:sz w:val="18"/>
                <w:szCs w:val="18"/>
              </w:rPr>
              <w:t>Timing</w:t>
            </w:r>
          </w:p>
        </w:tc>
      </w:tr>
      <w:tr w:rsidR="00F77840" w14:paraId="3DEE147D" w14:textId="77777777">
        <w:trPr>
          <w:cantSplit/>
        </w:trPr>
        <w:tc>
          <w:tcPr>
            <w:tcW w:w="52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0AA8306A" w14:textId="77777777" w:rsidR="00F77840" w:rsidRDefault="00000000">
            <w:r>
              <w:rPr>
                <w:color w:val="1B2430"/>
                <w:sz w:val="18"/>
                <w:szCs w:val="18"/>
              </w:rPr>
              <w:t>R1</w:t>
            </w:r>
          </w:p>
        </w:tc>
        <w:tc>
          <w:tcPr>
            <w:tcW w:w="41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715619E9" w14:textId="77777777" w:rsidR="00F77840" w:rsidRDefault="00000000">
            <w:r>
              <w:rPr>
                <w:color w:val="1B2430"/>
                <w:sz w:val="18"/>
                <w:szCs w:val="18"/>
              </w:rPr>
              <w:t>Harden build pipeline: ephemeral, parallel builds; signed build steps; SBOM</w:t>
            </w:r>
          </w:p>
        </w:tc>
        <w:tc>
          <w:tcPr>
            <w:tcW w:w="9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0F2D03D2" w14:textId="77777777" w:rsidR="00F77840" w:rsidRDefault="00000000">
            <w:r>
              <w:rPr>
                <w:color w:val="1B2430"/>
                <w:sz w:val="18"/>
                <w:szCs w:val="18"/>
              </w:rPr>
              <w:t>16</w:t>
            </w:r>
          </w:p>
        </w:tc>
        <w:tc>
          <w:tcPr>
            <w:tcW w:w="9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4CF852A6" w14:textId="77777777" w:rsidR="00F77840" w:rsidRDefault="00000000">
            <w:r>
              <w:rPr>
                <w:color w:val="1B2430"/>
                <w:sz w:val="18"/>
                <w:szCs w:val="18"/>
              </w:rPr>
              <w:t>5 of 5</w:t>
            </w:r>
          </w:p>
        </w:tc>
        <w:tc>
          <w:tcPr>
            <w:tcW w:w="156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6D878F75" w14:textId="77777777" w:rsidR="00F77840" w:rsidRDefault="00000000">
            <w:r>
              <w:rPr>
                <w:color w:val="1B2430"/>
                <w:sz w:val="18"/>
                <w:szCs w:val="18"/>
              </w:rPr>
              <w:t>$600K–$1.2M</w:t>
            </w:r>
          </w:p>
        </w:tc>
        <w:tc>
          <w:tcPr>
            <w:tcW w:w="21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04975D97" w14:textId="77777777" w:rsidR="00F77840" w:rsidRDefault="00000000">
            <w:r>
              <w:rPr>
                <w:color w:val="1B2430"/>
                <w:sz w:val="18"/>
                <w:szCs w:val="18"/>
              </w:rPr>
              <w:t>Pilot by day 90</w:t>
            </w:r>
          </w:p>
        </w:tc>
      </w:tr>
      <w:tr w:rsidR="00F77840" w14:paraId="21B94307" w14:textId="77777777">
        <w:trPr>
          <w:cantSplit/>
        </w:trPr>
        <w:tc>
          <w:tcPr>
            <w:tcW w:w="52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7194E6CF" w14:textId="77777777" w:rsidR="00F77840" w:rsidRDefault="00000000">
            <w:r>
              <w:rPr>
                <w:color w:val="1B2430"/>
                <w:sz w:val="18"/>
                <w:szCs w:val="18"/>
              </w:rPr>
              <w:t>R2</w:t>
            </w:r>
          </w:p>
        </w:tc>
        <w:tc>
          <w:tcPr>
            <w:tcW w:w="41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78678683" w14:textId="77777777" w:rsidR="00F77840" w:rsidRDefault="00000000">
            <w:r>
              <w:rPr>
                <w:color w:val="1B2430"/>
                <w:sz w:val="18"/>
                <w:szCs w:val="18"/>
              </w:rPr>
              <w:t>MFA and privileged-access controls on VPN, admin, and build systems</w:t>
            </w:r>
          </w:p>
        </w:tc>
        <w:tc>
          <w:tcPr>
            <w:tcW w:w="9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36A03E69" w14:textId="77777777" w:rsidR="00F77840" w:rsidRDefault="00000000">
            <w:r>
              <w:rPr>
                <w:color w:val="1B2430"/>
                <w:sz w:val="18"/>
                <w:szCs w:val="18"/>
              </w:rPr>
              <w:t>5, 6</w:t>
            </w:r>
          </w:p>
        </w:tc>
        <w:tc>
          <w:tcPr>
            <w:tcW w:w="9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3C870E7F" w14:textId="77777777" w:rsidR="00F77840" w:rsidRDefault="00000000">
            <w:r>
              <w:rPr>
                <w:color w:val="1B2430"/>
                <w:sz w:val="18"/>
                <w:szCs w:val="18"/>
              </w:rPr>
              <w:t>5 of 5</w:t>
            </w:r>
          </w:p>
        </w:tc>
        <w:tc>
          <w:tcPr>
            <w:tcW w:w="156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2443FB80" w14:textId="77777777" w:rsidR="00F77840" w:rsidRDefault="00000000">
            <w:r>
              <w:rPr>
                <w:color w:val="1B2430"/>
                <w:sz w:val="18"/>
                <w:szCs w:val="18"/>
              </w:rPr>
              <w:t>$80K–$200K</w:t>
            </w:r>
          </w:p>
        </w:tc>
        <w:tc>
          <w:tcPr>
            <w:tcW w:w="21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5F141D6A" w14:textId="77777777" w:rsidR="00F77840" w:rsidRDefault="00000000">
            <w:r>
              <w:rPr>
                <w:color w:val="1B2430"/>
                <w:sz w:val="18"/>
                <w:szCs w:val="18"/>
              </w:rPr>
              <w:t>Days 0–30</w:t>
            </w:r>
          </w:p>
        </w:tc>
      </w:tr>
      <w:tr w:rsidR="00F77840" w14:paraId="21236418" w14:textId="77777777">
        <w:trPr>
          <w:cantSplit/>
        </w:trPr>
        <w:tc>
          <w:tcPr>
            <w:tcW w:w="52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5B4D1D03" w14:textId="77777777" w:rsidR="00F77840" w:rsidRDefault="00000000">
            <w:r>
              <w:rPr>
                <w:color w:val="1B2430"/>
                <w:sz w:val="18"/>
                <w:szCs w:val="18"/>
              </w:rPr>
              <w:t>R3</w:t>
            </w:r>
          </w:p>
        </w:tc>
        <w:tc>
          <w:tcPr>
            <w:tcW w:w="41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385EE225" w14:textId="77777777" w:rsidR="00F77840" w:rsidRDefault="00000000">
            <w:r>
              <w:rPr>
                <w:color w:val="1B2430"/>
                <w:sz w:val="18"/>
                <w:szCs w:val="18"/>
              </w:rPr>
              <w:t>Secrets vaulting, credential rotation, enforced password policy</w:t>
            </w:r>
          </w:p>
        </w:tc>
        <w:tc>
          <w:tcPr>
            <w:tcW w:w="9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2B16680E" w14:textId="77777777" w:rsidR="00F77840" w:rsidRDefault="00000000">
            <w:r>
              <w:rPr>
                <w:color w:val="1B2430"/>
                <w:sz w:val="18"/>
                <w:szCs w:val="18"/>
              </w:rPr>
              <w:t>5</w:t>
            </w:r>
          </w:p>
        </w:tc>
        <w:tc>
          <w:tcPr>
            <w:tcW w:w="9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15A2A6EC" w14:textId="77777777" w:rsidR="00F77840" w:rsidRDefault="00000000">
            <w:r>
              <w:rPr>
                <w:color w:val="1B2430"/>
                <w:sz w:val="18"/>
                <w:szCs w:val="18"/>
              </w:rPr>
              <w:t>4 of 5</w:t>
            </w:r>
          </w:p>
        </w:tc>
        <w:tc>
          <w:tcPr>
            <w:tcW w:w="156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1BEA6A4D" w14:textId="77777777" w:rsidR="00F77840" w:rsidRDefault="00000000">
            <w:r>
              <w:rPr>
                <w:color w:val="1B2430"/>
                <w:sz w:val="18"/>
                <w:szCs w:val="18"/>
              </w:rPr>
              <w:t>$40K–$120K</w:t>
            </w:r>
          </w:p>
        </w:tc>
        <w:tc>
          <w:tcPr>
            <w:tcW w:w="21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0AFCD927" w14:textId="77777777" w:rsidR="00F77840" w:rsidRDefault="00000000">
            <w:r>
              <w:rPr>
                <w:color w:val="1B2430"/>
                <w:sz w:val="18"/>
                <w:szCs w:val="18"/>
              </w:rPr>
              <w:t>Days 0–30</w:t>
            </w:r>
          </w:p>
        </w:tc>
      </w:tr>
      <w:tr w:rsidR="00F77840" w14:paraId="38FB1868" w14:textId="77777777">
        <w:trPr>
          <w:cantSplit/>
        </w:trPr>
        <w:tc>
          <w:tcPr>
            <w:tcW w:w="52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65C3A5AA" w14:textId="77777777" w:rsidR="00F77840" w:rsidRDefault="00000000">
            <w:r>
              <w:rPr>
                <w:color w:val="1B2430"/>
                <w:sz w:val="18"/>
                <w:szCs w:val="18"/>
              </w:rPr>
              <w:t>R4</w:t>
            </w:r>
          </w:p>
        </w:tc>
        <w:tc>
          <w:tcPr>
            <w:tcW w:w="41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1DB74666" w14:textId="77777777" w:rsidR="00F77840" w:rsidRDefault="00000000">
            <w:r>
              <w:rPr>
                <w:color w:val="1B2430"/>
                <w:sz w:val="18"/>
                <w:szCs w:val="18"/>
              </w:rPr>
              <w:t>Remote access only from managed, compliant devices</w:t>
            </w:r>
          </w:p>
        </w:tc>
        <w:tc>
          <w:tcPr>
            <w:tcW w:w="9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1B147027" w14:textId="77777777" w:rsidR="00F77840" w:rsidRDefault="00000000">
            <w:r>
              <w:rPr>
                <w:color w:val="1B2430"/>
                <w:sz w:val="18"/>
                <w:szCs w:val="18"/>
              </w:rPr>
              <w:t>12, 13</w:t>
            </w:r>
          </w:p>
        </w:tc>
        <w:tc>
          <w:tcPr>
            <w:tcW w:w="9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7A1F4B60" w14:textId="77777777" w:rsidR="00F77840" w:rsidRDefault="00000000">
            <w:r>
              <w:rPr>
                <w:color w:val="1B2430"/>
                <w:sz w:val="18"/>
                <w:szCs w:val="18"/>
              </w:rPr>
              <w:t>4 of 5</w:t>
            </w:r>
          </w:p>
        </w:tc>
        <w:tc>
          <w:tcPr>
            <w:tcW w:w="156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1D9B9F75" w14:textId="77777777" w:rsidR="00F77840" w:rsidRDefault="00000000">
            <w:r>
              <w:rPr>
                <w:color w:val="1B2430"/>
                <w:sz w:val="18"/>
                <w:szCs w:val="18"/>
              </w:rPr>
              <w:t>$100K–$300K</w:t>
            </w:r>
          </w:p>
        </w:tc>
        <w:tc>
          <w:tcPr>
            <w:tcW w:w="21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76410F76" w14:textId="77777777" w:rsidR="00F77840" w:rsidRDefault="00000000">
            <w:r>
              <w:rPr>
                <w:color w:val="1B2430"/>
                <w:sz w:val="18"/>
                <w:szCs w:val="18"/>
              </w:rPr>
              <w:t>Days 31–60</w:t>
            </w:r>
          </w:p>
        </w:tc>
      </w:tr>
      <w:tr w:rsidR="00F77840" w14:paraId="1450E41D" w14:textId="77777777">
        <w:trPr>
          <w:cantSplit/>
        </w:trPr>
        <w:tc>
          <w:tcPr>
            <w:tcW w:w="52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13E40F0C" w14:textId="77777777" w:rsidR="00F77840" w:rsidRDefault="00000000">
            <w:r>
              <w:rPr>
                <w:color w:val="1B2430"/>
                <w:sz w:val="18"/>
                <w:szCs w:val="18"/>
              </w:rPr>
              <w:t>R5</w:t>
            </w:r>
          </w:p>
        </w:tc>
        <w:tc>
          <w:tcPr>
            <w:tcW w:w="41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2F21FADB" w14:textId="77777777" w:rsidR="00F77840" w:rsidRDefault="00000000">
            <w:r>
              <w:rPr>
                <w:color w:val="1B2430"/>
                <w:sz w:val="18"/>
                <w:szCs w:val="18"/>
              </w:rPr>
              <w:t>Central logging and detection across dev, build, and release systems</w:t>
            </w:r>
          </w:p>
        </w:tc>
        <w:tc>
          <w:tcPr>
            <w:tcW w:w="9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45A15F93" w14:textId="77777777" w:rsidR="00F77840" w:rsidRDefault="00000000">
            <w:r>
              <w:rPr>
                <w:color w:val="1B2430"/>
                <w:sz w:val="18"/>
                <w:szCs w:val="18"/>
              </w:rPr>
              <w:t>8, 13</w:t>
            </w:r>
          </w:p>
        </w:tc>
        <w:tc>
          <w:tcPr>
            <w:tcW w:w="9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5ADC7732" w14:textId="77777777" w:rsidR="00F77840" w:rsidRDefault="00000000">
            <w:r>
              <w:rPr>
                <w:color w:val="1B2430"/>
                <w:sz w:val="18"/>
                <w:szCs w:val="18"/>
              </w:rPr>
              <w:t>5 of 5</w:t>
            </w:r>
          </w:p>
        </w:tc>
        <w:tc>
          <w:tcPr>
            <w:tcW w:w="156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56D5AF7A" w14:textId="77777777" w:rsidR="00F77840" w:rsidRDefault="00000000">
            <w:r>
              <w:rPr>
                <w:color w:val="1B2430"/>
                <w:sz w:val="18"/>
                <w:szCs w:val="18"/>
              </w:rPr>
              <w:t>$250K–$600K</w:t>
            </w:r>
          </w:p>
        </w:tc>
        <w:tc>
          <w:tcPr>
            <w:tcW w:w="21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5EB9ADE4" w14:textId="77777777" w:rsidR="00F77840" w:rsidRDefault="00000000">
            <w:r>
              <w:rPr>
                <w:color w:val="1B2430"/>
                <w:sz w:val="18"/>
                <w:szCs w:val="18"/>
              </w:rPr>
              <w:t>Days 31–90</w:t>
            </w:r>
          </w:p>
        </w:tc>
      </w:tr>
      <w:tr w:rsidR="00F77840" w14:paraId="6F5F1030" w14:textId="77777777">
        <w:trPr>
          <w:cantSplit/>
        </w:trPr>
        <w:tc>
          <w:tcPr>
            <w:tcW w:w="52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7E4BEFAB" w14:textId="77777777" w:rsidR="00F77840" w:rsidRDefault="00000000">
            <w:r>
              <w:rPr>
                <w:color w:val="1B2430"/>
                <w:sz w:val="18"/>
                <w:szCs w:val="18"/>
              </w:rPr>
              <w:t>R6</w:t>
            </w:r>
          </w:p>
        </w:tc>
        <w:tc>
          <w:tcPr>
            <w:tcW w:w="41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423669BC" w14:textId="77777777" w:rsidR="00F77840" w:rsidRDefault="00000000">
            <w:r>
              <w:rPr>
                <w:color w:val="1B2430"/>
                <w:sz w:val="18"/>
                <w:szCs w:val="18"/>
              </w:rPr>
              <w:t>Framework baseline, independent testing, board-level reporting</w:t>
            </w:r>
          </w:p>
        </w:tc>
        <w:tc>
          <w:tcPr>
            <w:tcW w:w="9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3C831974" w14:textId="77777777" w:rsidR="00F77840" w:rsidRDefault="00000000">
            <w:r>
              <w:rPr>
                <w:color w:val="1B2430"/>
                <w:sz w:val="18"/>
                <w:szCs w:val="18"/>
              </w:rPr>
              <w:t>18</w:t>
            </w:r>
          </w:p>
        </w:tc>
        <w:tc>
          <w:tcPr>
            <w:tcW w:w="9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0C744DE9" w14:textId="77777777" w:rsidR="00F77840" w:rsidRDefault="00000000">
            <w:r>
              <w:rPr>
                <w:color w:val="1B2430"/>
                <w:sz w:val="18"/>
                <w:szCs w:val="18"/>
              </w:rPr>
              <w:t>4 of 5</w:t>
            </w:r>
          </w:p>
        </w:tc>
        <w:tc>
          <w:tcPr>
            <w:tcW w:w="156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64DDA428" w14:textId="77777777" w:rsidR="00F77840" w:rsidRDefault="00000000">
            <w:r>
              <w:rPr>
                <w:color w:val="1B2430"/>
                <w:sz w:val="18"/>
                <w:szCs w:val="18"/>
              </w:rPr>
              <w:t>$75K–$200K</w:t>
            </w:r>
          </w:p>
        </w:tc>
        <w:tc>
          <w:tcPr>
            <w:tcW w:w="21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25EF7B6F" w14:textId="77777777" w:rsidR="00F77840" w:rsidRDefault="00000000">
            <w:r>
              <w:rPr>
                <w:color w:val="1B2430"/>
                <w:sz w:val="18"/>
                <w:szCs w:val="18"/>
              </w:rPr>
              <w:t>Days 31–60</w:t>
            </w:r>
          </w:p>
        </w:tc>
      </w:tr>
      <w:tr w:rsidR="00F77840" w14:paraId="336AA7C1" w14:textId="77777777">
        <w:trPr>
          <w:cantSplit/>
        </w:trPr>
        <w:tc>
          <w:tcPr>
            <w:tcW w:w="52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2CFCEA7D" w14:textId="77777777" w:rsidR="00F77840" w:rsidRDefault="00000000">
            <w:r>
              <w:rPr>
                <w:color w:val="1B2430"/>
                <w:sz w:val="18"/>
                <w:szCs w:val="18"/>
              </w:rPr>
              <w:t>R7</w:t>
            </w:r>
          </w:p>
        </w:tc>
        <w:tc>
          <w:tcPr>
            <w:tcW w:w="41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7DBC8A5C" w14:textId="77777777" w:rsidR="00F77840" w:rsidRDefault="00000000">
            <w:r>
              <w:rPr>
                <w:color w:val="1B2430"/>
                <w:sz w:val="18"/>
                <w:szCs w:val="18"/>
              </w:rPr>
              <w:t>Incident-response plan, tabletop exercise, security-to-disclosure process</w:t>
            </w:r>
          </w:p>
        </w:tc>
        <w:tc>
          <w:tcPr>
            <w:tcW w:w="9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4514DA2A" w14:textId="77777777" w:rsidR="00F77840" w:rsidRDefault="00000000">
            <w:r>
              <w:rPr>
                <w:color w:val="1B2430"/>
                <w:sz w:val="18"/>
                <w:szCs w:val="18"/>
              </w:rPr>
              <w:t>17</w:t>
            </w:r>
          </w:p>
        </w:tc>
        <w:tc>
          <w:tcPr>
            <w:tcW w:w="9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4C026914" w14:textId="77777777" w:rsidR="00F77840" w:rsidRDefault="00000000">
            <w:r>
              <w:rPr>
                <w:color w:val="1B2430"/>
                <w:sz w:val="18"/>
                <w:szCs w:val="18"/>
              </w:rPr>
              <w:t>4 of 5</w:t>
            </w:r>
          </w:p>
        </w:tc>
        <w:tc>
          <w:tcPr>
            <w:tcW w:w="156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13860CB8" w14:textId="77777777" w:rsidR="00F77840" w:rsidRDefault="00000000">
            <w:r>
              <w:rPr>
                <w:color w:val="1B2430"/>
                <w:sz w:val="18"/>
                <w:szCs w:val="18"/>
              </w:rPr>
              <w:t>$50K–$150K</w:t>
            </w:r>
          </w:p>
        </w:tc>
        <w:tc>
          <w:tcPr>
            <w:tcW w:w="2100" w:type="dxa"/>
            <w:tcBorders>
              <w:top w:val="single" w:sz="4" w:space="0" w:color="C9CFD8"/>
              <w:left w:val="single" w:sz="4" w:space="0" w:color="C9CFD8"/>
              <w:bottom w:val="single" w:sz="4" w:space="0" w:color="C9CFD8"/>
              <w:right w:val="single" w:sz="4" w:space="0" w:color="C9CFD8"/>
            </w:tcBorders>
            <w:tcMar>
              <w:top w:w="50" w:type="dxa"/>
              <w:left w:w="90" w:type="dxa"/>
              <w:bottom w:w="50" w:type="dxa"/>
              <w:right w:w="90" w:type="dxa"/>
            </w:tcMar>
          </w:tcPr>
          <w:p w14:paraId="18A2AA44" w14:textId="77777777" w:rsidR="00F77840" w:rsidRDefault="00000000">
            <w:r>
              <w:rPr>
                <w:color w:val="1B2430"/>
                <w:sz w:val="18"/>
                <w:szCs w:val="18"/>
              </w:rPr>
              <w:t>Days 0–30</w:t>
            </w:r>
          </w:p>
        </w:tc>
      </w:tr>
      <w:tr w:rsidR="00F77840" w14:paraId="18413091" w14:textId="77777777">
        <w:trPr>
          <w:cantSplit/>
        </w:trPr>
        <w:tc>
          <w:tcPr>
            <w:tcW w:w="52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1DB261AB" w14:textId="77777777" w:rsidR="00F77840" w:rsidRDefault="00000000">
            <w:r>
              <w:rPr>
                <w:color w:val="1B2430"/>
                <w:sz w:val="18"/>
                <w:szCs w:val="18"/>
              </w:rPr>
              <w:t>R8</w:t>
            </w:r>
          </w:p>
        </w:tc>
        <w:tc>
          <w:tcPr>
            <w:tcW w:w="41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5F59ACB1" w14:textId="77777777" w:rsidR="00F77840" w:rsidRDefault="00000000">
            <w:r>
              <w:rPr>
                <w:color w:val="1B2430"/>
                <w:sz w:val="18"/>
                <w:szCs w:val="18"/>
              </w:rPr>
              <w:t>Review cyber and D&amp;O insurance limits against realistic loss</w:t>
            </w:r>
          </w:p>
        </w:tc>
        <w:tc>
          <w:tcPr>
            <w:tcW w:w="9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0E42FEC3" w14:textId="77777777" w:rsidR="00F77840" w:rsidRDefault="00000000">
            <w:r>
              <w:rPr>
                <w:color w:val="1B2430"/>
                <w:sz w:val="18"/>
                <w:szCs w:val="18"/>
              </w:rPr>
              <w:t>n/a</w:t>
            </w:r>
          </w:p>
        </w:tc>
        <w:tc>
          <w:tcPr>
            <w:tcW w:w="9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3B342701" w14:textId="77777777" w:rsidR="00F77840" w:rsidRDefault="00000000">
            <w:r>
              <w:rPr>
                <w:color w:val="1B2430"/>
                <w:sz w:val="18"/>
                <w:szCs w:val="18"/>
              </w:rPr>
              <w:t>3 of 5</w:t>
            </w:r>
          </w:p>
        </w:tc>
        <w:tc>
          <w:tcPr>
            <w:tcW w:w="156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5AC912A0" w14:textId="77777777" w:rsidR="00F77840" w:rsidRDefault="00000000">
            <w:r>
              <w:rPr>
                <w:color w:val="1B2430"/>
                <w:sz w:val="18"/>
                <w:szCs w:val="18"/>
              </w:rPr>
              <w:t>$10K–$30K</w:t>
            </w:r>
          </w:p>
        </w:tc>
        <w:tc>
          <w:tcPr>
            <w:tcW w:w="2100" w:type="dxa"/>
            <w:tcBorders>
              <w:top w:val="single" w:sz="4" w:space="0" w:color="C9CFD8"/>
              <w:left w:val="single" w:sz="4" w:space="0" w:color="C9CFD8"/>
              <w:bottom w:val="single" w:sz="4" w:space="0" w:color="C9CFD8"/>
              <w:right w:val="single" w:sz="4" w:space="0" w:color="C9CFD8"/>
            </w:tcBorders>
            <w:shd w:val="clear" w:color="auto" w:fill="F4F6F8"/>
            <w:tcMar>
              <w:top w:w="50" w:type="dxa"/>
              <w:left w:w="90" w:type="dxa"/>
              <w:bottom w:w="50" w:type="dxa"/>
              <w:right w:w="90" w:type="dxa"/>
            </w:tcMar>
          </w:tcPr>
          <w:p w14:paraId="6EDC65FB" w14:textId="77777777" w:rsidR="00F77840" w:rsidRDefault="00000000">
            <w:r>
              <w:rPr>
                <w:color w:val="1B2430"/>
                <w:sz w:val="18"/>
                <w:szCs w:val="18"/>
              </w:rPr>
              <w:t>Days 0–30</w:t>
            </w:r>
          </w:p>
        </w:tc>
      </w:tr>
    </w:tbl>
    <w:p w14:paraId="17F0F130" w14:textId="77777777" w:rsidR="00F77840" w:rsidRDefault="00000000">
      <w:pPr>
        <w:pBdr>
          <w:bottom w:val="single" w:sz="6" w:space="2" w:color="C9CFD8"/>
        </w:pBdr>
        <w:spacing w:before="160" w:after="60"/>
      </w:pPr>
      <w:r>
        <w:rPr>
          <w:b/>
          <w:bCs/>
          <w:color w:val="B8741A"/>
          <w:spacing w:val="20"/>
        </w:rPr>
        <w:t>COST VERSUS RISK</w:t>
      </w:r>
    </w:p>
    <w:p w14:paraId="11616EFF" w14:textId="77777777" w:rsidR="00F77840" w:rsidRDefault="00000000">
      <w:pPr>
        <w:spacing w:after="80" w:line="252" w:lineRule="auto"/>
      </w:pPr>
      <w:r>
        <w:rPr>
          <w:color w:val="1B2430"/>
        </w:rPr>
        <w:t>The full program costs an estimated $1.2M–$2.8M. SolarWinds carried $15M of cyber insurance, which covered less than a third of its 2021 gross expenses alone, so insurance limits are not a substitute for prevention. The comparison is illustrative, not a probability estimate: the point is that the program’s cost is small next to the scale of a single supply-chain incident.</w:t>
      </w:r>
    </w:p>
    <w:p w14:paraId="61EBD4B9" w14:textId="77777777" w:rsidR="00F77840" w:rsidRDefault="00000000">
      <w:pPr>
        <w:pBdr>
          <w:bottom w:val="single" w:sz="6" w:space="2" w:color="C9CFD8"/>
        </w:pBdr>
        <w:spacing w:before="160" w:after="60"/>
      </w:pPr>
      <w:r>
        <w:rPr>
          <w:b/>
          <w:bCs/>
          <w:color w:val="B8741A"/>
          <w:spacing w:val="20"/>
        </w:rPr>
        <w:t>DECISION REQUESTED</w:t>
      </w:r>
    </w:p>
    <w:p w14:paraId="2F4C9DDE" w14:textId="77777777" w:rsidR="00F77840" w:rsidRDefault="00000000">
      <w:pPr>
        <w:pStyle w:val="ListParagraph"/>
        <w:numPr>
          <w:ilvl w:val="0"/>
          <w:numId w:val="2"/>
        </w:numPr>
        <w:spacing w:after="40" w:line="252" w:lineRule="auto"/>
      </w:pPr>
      <w:r>
        <w:rPr>
          <w:color w:val="1B2430"/>
        </w:rPr>
        <w:t>Approve the four 30-day quick wins (R2, R3, R7, R8).</w:t>
      </w:r>
    </w:p>
    <w:p w14:paraId="29510D44" w14:textId="77777777" w:rsidR="00F77840" w:rsidRDefault="00000000">
      <w:pPr>
        <w:pStyle w:val="ListParagraph"/>
        <w:numPr>
          <w:ilvl w:val="0"/>
          <w:numId w:val="2"/>
        </w:numPr>
        <w:spacing w:after="40" w:line="252" w:lineRule="auto"/>
      </w:pPr>
      <w:r>
        <w:rPr>
          <w:color w:val="1B2430"/>
        </w:rPr>
        <w:t>Fund a pilot of parallel, signed builds on one product line (R1).</w:t>
      </w:r>
    </w:p>
    <w:p w14:paraId="2576A559" w14:textId="77777777" w:rsidR="00F77840" w:rsidRDefault="00000000">
      <w:pPr>
        <w:pStyle w:val="ListParagraph"/>
        <w:numPr>
          <w:ilvl w:val="0"/>
          <w:numId w:val="2"/>
        </w:numPr>
        <w:spacing w:after="40" w:line="252" w:lineRule="auto"/>
      </w:pPr>
      <w:r>
        <w:rPr>
          <w:color w:val="1B2430"/>
        </w:rPr>
        <w:t>Adopt quarterly security reporting to the board so public statements match internal assessments.</w:t>
      </w:r>
    </w:p>
    <w:p w14:paraId="53B21149" w14:textId="77777777" w:rsidR="00F77840" w:rsidRDefault="00000000">
      <w:pPr>
        <w:pBdr>
          <w:bottom w:val="single" w:sz="6" w:space="2" w:color="C9CFD8"/>
        </w:pBdr>
        <w:spacing w:before="160" w:after="60"/>
      </w:pPr>
      <w:r>
        <w:rPr>
          <w:b/>
          <w:bCs/>
          <w:color w:val="B8741A"/>
          <w:spacing w:val="20"/>
        </w:rPr>
        <w:t>SOURCES</w:t>
      </w:r>
    </w:p>
    <w:p w14:paraId="714E0212" w14:textId="77777777" w:rsidR="00F77840" w:rsidRDefault="00000000">
      <w:pPr>
        <w:spacing w:line="220" w:lineRule="auto"/>
      </w:pPr>
      <w:r>
        <w:rPr>
          <w:color w:val="5A6472"/>
          <w:sz w:val="15"/>
          <w:szCs w:val="15"/>
        </w:rPr>
        <w:t>SolarWinds Form 10-K FY2021 (sec.gov); SolarWinds securities class action settlement notice (blbglaw.com/cases/</w:t>
      </w:r>
      <w:proofErr w:type="spellStart"/>
      <w:r>
        <w:rPr>
          <w:color w:val="5A6472"/>
          <w:sz w:val="15"/>
          <w:szCs w:val="15"/>
        </w:rPr>
        <w:t>solarwinds</w:t>
      </w:r>
      <w:proofErr w:type="spellEnd"/>
      <w:r>
        <w:rPr>
          <w:color w:val="5A6472"/>
          <w:sz w:val="15"/>
          <w:szCs w:val="15"/>
        </w:rPr>
        <w:t xml:space="preserve">); Hunton Andrews Kurth, “Judge Dismisses Most of SEC Case Against SolarWinds and Its CISO” (July 2024); Winston Taylor, “SEC and SolarWinds Litigation Dismissed Following Joint Stipulation” (Dec. 2025); WilmerHale and BCLP analyses of the SEC complaint (Nov. 2023); </w:t>
      </w:r>
      <w:proofErr w:type="spellStart"/>
      <w:r>
        <w:rPr>
          <w:color w:val="5A6472"/>
          <w:sz w:val="15"/>
          <w:szCs w:val="15"/>
        </w:rPr>
        <w:t>SecurityWeek</w:t>
      </w:r>
      <w:proofErr w:type="spellEnd"/>
      <w:r>
        <w:rPr>
          <w:color w:val="5A6472"/>
          <w:sz w:val="15"/>
          <w:szCs w:val="15"/>
        </w:rPr>
        <w:t>, “SolarWinds Shares More Information on Cyberattack Impact”; TechTarget, “White House: SolarWinds Hack Impacted 9 Fed Agencies, 100 Entities”; Reuters via Business Insurance, “Hacked IT firm says fewer than 18K customers compromised”; SolarWinds, “Setting the New Standard in Secure Software Development” (2022).</w:t>
      </w:r>
    </w:p>
    <w:sectPr w:rsidR="00F77840">
      <w:footerReference w:type="default" r:id="rId7"/>
      <w:pgSz w:w="12240" w:h="15840"/>
      <w:pgMar w:top="1000" w:right="1080" w:bottom="9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A8CC4" w14:textId="77777777" w:rsidR="00BB70E8" w:rsidRDefault="00BB70E8">
      <w:r>
        <w:separator/>
      </w:r>
    </w:p>
  </w:endnote>
  <w:endnote w:type="continuationSeparator" w:id="0">
    <w:p w14:paraId="20B37828" w14:textId="77777777" w:rsidR="00BB70E8" w:rsidRDefault="00BB7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4948F" w14:textId="77777777" w:rsidR="00F77840" w:rsidRDefault="00000000">
    <w:pPr>
      <w:jc w:val="center"/>
    </w:pPr>
    <w:r>
      <w:rPr>
        <w:color w:val="5A6472"/>
        <w:sz w:val="16"/>
        <w:szCs w:val="16"/>
      </w:rPr>
      <w:t xml:space="preserve">Independent case study based on public sources  |  Page </w:t>
    </w:r>
    <w:r>
      <w:rPr>
        <w:color w:val="5A6472"/>
        <w:sz w:val="16"/>
        <w:szCs w:val="16"/>
      </w:rPr>
      <w:fldChar w:fldCharType="begin"/>
    </w:r>
    <w:r>
      <w:rPr>
        <w:color w:val="5A6472"/>
        <w:sz w:val="16"/>
        <w:szCs w:val="16"/>
      </w:rPr>
      <w:instrText>PAGE</w:instrText>
    </w:r>
    <w:r>
      <w:rPr>
        <w:color w:val="5A6472"/>
        <w:sz w:val="16"/>
        <w:szCs w:val="16"/>
      </w:rPr>
      <w:fldChar w:fldCharType="separate"/>
    </w:r>
    <w:r w:rsidR="00CF5F16">
      <w:rPr>
        <w:noProof/>
        <w:color w:val="5A6472"/>
        <w:sz w:val="16"/>
        <w:szCs w:val="16"/>
      </w:rPr>
      <w:t>1</w:t>
    </w:r>
    <w:r>
      <w:rPr>
        <w:color w:val="5A647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5970D" w14:textId="77777777" w:rsidR="00BB70E8" w:rsidRDefault="00BB70E8">
      <w:r>
        <w:separator/>
      </w:r>
    </w:p>
  </w:footnote>
  <w:footnote w:type="continuationSeparator" w:id="0">
    <w:p w14:paraId="273A09BE" w14:textId="77777777" w:rsidR="00BB70E8" w:rsidRDefault="00BB70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7B9C"/>
    <w:multiLevelType w:val="hybridMultilevel"/>
    <w:tmpl w:val="E54ACCC2"/>
    <w:lvl w:ilvl="0" w:tplc="ACBC1A2C">
      <w:start w:val="1"/>
      <w:numFmt w:val="bullet"/>
      <w:lvlText w:val="•"/>
      <w:lvlJc w:val="left"/>
      <w:pPr>
        <w:ind w:left="360" w:hanging="220"/>
      </w:pPr>
    </w:lvl>
    <w:lvl w:ilvl="1" w:tplc="648E3782">
      <w:numFmt w:val="decimal"/>
      <w:lvlText w:val=""/>
      <w:lvlJc w:val="left"/>
    </w:lvl>
    <w:lvl w:ilvl="2" w:tplc="DC5C5F64">
      <w:numFmt w:val="decimal"/>
      <w:lvlText w:val=""/>
      <w:lvlJc w:val="left"/>
    </w:lvl>
    <w:lvl w:ilvl="3" w:tplc="E278978A">
      <w:numFmt w:val="decimal"/>
      <w:lvlText w:val=""/>
      <w:lvlJc w:val="left"/>
    </w:lvl>
    <w:lvl w:ilvl="4" w:tplc="0F4C577E">
      <w:numFmt w:val="decimal"/>
      <w:lvlText w:val=""/>
      <w:lvlJc w:val="left"/>
    </w:lvl>
    <w:lvl w:ilvl="5" w:tplc="FA4257DA">
      <w:numFmt w:val="decimal"/>
      <w:lvlText w:val=""/>
      <w:lvlJc w:val="left"/>
    </w:lvl>
    <w:lvl w:ilvl="6" w:tplc="A420E166">
      <w:numFmt w:val="decimal"/>
      <w:lvlText w:val=""/>
      <w:lvlJc w:val="left"/>
    </w:lvl>
    <w:lvl w:ilvl="7" w:tplc="9ED62304">
      <w:numFmt w:val="decimal"/>
      <w:lvlText w:val=""/>
      <w:lvlJc w:val="left"/>
    </w:lvl>
    <w:lvl w:ilvl="8" w:tplc="94646F2A">
      <w:numFmt w:val="decimal"/>
      <w:lvlText w:val=""/>
      <w:lvlJc w:val="left"/>
    </w:lvl>
  </w:abstractNum>
  <w:abstractNum w:abstractNumId="1" w15:restartNumberingAfterBreak="0">
    <w:nsid w:val="5AA07A06"/>
    <w:multiLevelType w:val="hybridMultilevel"/>
    <w:tmpl w:val="18BE718E"/>
    <w:lvl w:ilvl="0" w:tplc="D8DAD7EC">
      <w:start w:val="1"/>
      <w:numFmt w:val="bullet"/>
      <w:lvlText w:val="●"/>
      <w:lvlJc w:val="left"/>
      <w:pPr>
        <w:ind w:left="720" w:hanging="360"/>
      </w:pPr>
    </w:lvl>
    <w:lvl w:ilvl="1" w:tplc="39664C3E">
      <w:start w:val="1"/>
      <w:numFmt w:val="bullet"/>
      <w:lvlText w:val="○"/>
      <w:lvlJc w:val="left"/>
      <w:pPr>
        <w:ind w:left="1440" w:hanging="360"/>
      </w:pPr>
    </w:lvl>
    <w:lvl w:ilvl="2" w:tplc="6E94BBBA">
      <w:start w:val="1"/>
      <w:numFmt w:val="bullet"/>
      <w:lvlText w:val="■"/>
      <w:lvlJc w:val="left"/>
      <w:pPr>
        <w:ind w:left="2160" w:hanging="360"/>
      </w:pPr>
    </w:lvl>
    <w:lvl w:ilvl="3" w:tplc="58B8DFFE">
      <w:start w:val="1"/>
      <w:numFmt w:val="bullet"/>
      <w:lvlText w:val="●"/>
      <w:lvlJc w:val="left"/>
      <w:pPr>
        <w:ind w:left="2880" w:hanging="360"/>
      </w:pPr>
    </w:lvl>
    <w:lvl w:ilvl="4" w:tplc="D20E1A48">
      <w:start w:val="1"/>
      <w:numFmt w:val="bullet"/>
      <w:lvlText w:val="○"/>
      <w:lvlJc w:val="left"/>
      <w:pPr>
        <w:ind w:left="3600" w:hanging="360"/>
      </w:pPr>
    </w:lvl>
    <w:lvl w:ilvl="5" w:tplc="88F21C00">
      <w:start w:val="1"/>
      <w:numFmt w:val="bullet"/>
      <w:lvlText w:val="■"/>
      <w:lvlJc w:val="left"/>
      <w:pPr>
        <w:ind w:left="4320" w:hanging="360"/>
      </w:pPr>
    </w:lvl>
    <w:lvl w:ilvl="6" w:tplc="936E5F54">
      <w:start w:val="1"/>
      <w:numFmt w:val="bullet"/>
      <w:lvlText w:val="●"/>
      <w:lvlJc w:val="left"/>
      <w:pPr>
        <w:ind w:left="5040" w:hanging="360"/>
      </w:pPr>
    </w:lvl>
    <w:lvl w:ilvl="7" w:tplc="73E21088">
      <w:start w:val="1"/>
      <w:numFmt w:val="bullet"/>
      <w:lvlText w:val="●"/>
      <w:lvlJc w:val="left"/>
      <w:pPr>
        <w:ind w:left="5760" w:hanging="360"/>
      </w:pPr>
    </w:lvl>
    <w:lvl w:ilvl="8" w:tplc="8B666A6E">
      <w:start w:val="1"/>
      <w:numFmt w:val="bullet"/>
      <w:lvlText w:val="●"/>
      <w:lvlJc w:val="left"/>
      <w:pPr>
        <w:ind w:left="6480" w:hanging="360"/>
      </w:pPr>
    </w:lvl>
  </w:abstractNum>
  <w:num w:numId="1" w16cid:durableId="2134326998">
    <w:abstractNumId w:val="1"/>
    <w:lvlOverride w:ilvl="0">
      <w:startOverride w:val="1"/>
    </w:lvlOverride>
  </w:num>
  <w:num w:numId="2" w16cid:durableId="18006135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840"/>
    <w:rsid w:val="00A16AF2"/>
    <w:rsid w:val="00BB1B9C"/>
    <w:rsid w:val="00BB70E8"/>
    <w:rsid w:val="00CF5F16"/>
    <w:rsid w:val="00F30E43"/>
    <w:rsid w:val="00F77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ACCD1"/>
  <w15:docId w15:val="{010835D1-7ED7-4164-9CFF-7B2466CE8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770</Words>
  <Characters>4392</Characters>
  <Application>Microsoft Office Word</Application>
  <DocSecurity>0</DocSecurity>
  <Lines>36</Lines>
  <Paragraphs>10</Paragraphs>
  <ScaleCrop>false</ScaleCrop>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SolarWinds SUNBURST: Impact and Remediation Strategy</dc:title>
  <dc:creator>Your Name</dc:creator>
  <cp:lastModifiedBy>Blahut, Cole William</cp:lastModifiedBy>
  <cp:revision>3</cp:revision>
  <cp:lastPrinted>2026-10-08T17:18:00Z</cp:lastPrinted>
  <dcterms:created xsi:type="dcterms:W3CDTF">2026-10-08T04:58:00Z</dcterms:created>
  <dcterms:modified xsi:type="dcterms:W3CDTF">2026-10-09T20:54:00Z</dcterms:modified>
</cp:coreProperties>
</file>